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80C46" w14:textId="77777777" w:rsidR="00D15A6C" w:rsidRPr="00D15A6C" w:rsidRDefault="00D15A6C" w:rsidP="00D15A6C">
      <w:pPr>
        <w:spacing w:after="0"/>
        <w:jc w:val="center"/>
        <w:rPr>
          <w:rFonts w:ascii="Calibri" w:hAnsi="Calibri" w:cs="Calibri"/>
          <w:b/>
          <w:bCs/>
          <w:sz w:val="21"/>
          <w:szCs w:val="21"/>
        </w:rPr>
      </w:pPr>
    </w:p>
    <w:p w14:paraId="124FD6FB" w14:textId="62561A9E" w:rsidR="006B6CB6" w:rsidRPr="00D15A6C" w:rsidRDefault="00D74050" w:rsidP="00D15A6C">
      <w:pPr>
        <w:spacing w:after="120" w:line="257" w:lineRule="auto"/>
        <w:jc w:val="center"/>
        <w:rPr>
          <w:rFonts w:ascii="Calibri" w:hAnsi="Calibri" w:cs="Calibri"/>
          <w:sz w:val="21"/>
          <w:szCs w:val="21"/>
        </w:rPr>
      </w:pPr>
      <w:r w:rsidRPr="00D15A6C">
        <w:rPr>
          <w:rFonts w:ascii="Calibri" w:hAnsi="Calibri" w:cs="Calibri"/>
          <w:b/>
          <w:bCs/>
          <w:sz w:val="21"/>
          <w:szCs w:val="21"/>
        </w:rPr>
        <w:t>March</w:t>
      </w:r>
      <w:r w:rsidR="006B6CB6" w:rsidRPr="00D15A6C">
        <w:rPr>
          <w:rFonts w:ascii="Calibri" w:hAnsi="Calibri" w:cs="Calibri"/>
          <w:b/>
          <w:bCs/>
          <w:sz w:val="21"/>
          <w:szCs w:val="21"/>
        </w:rPr>
        <w:t xml:space="preserve"> </w:t>
      </w:r>
      <w:r w:rsidR="00886681" w:rsidRPr="00D15A6C">
        <w:rPr>
          <w:rFonts w:ascii="Calibri" w:hAnsi="Calibri" w:cs="Calibri"/>
          <w:b/>
          <w:bCs/>
          <w:sz w:val="21"/>
          <w:szCs w:val="21"/>
        </w:rPr>
        <w:t>5</w:t>
      </w:r>
      <w:r w:rsidR="006B6CB6" w:rsidRPr="00D15A6C">
        <w:rPr>
          <w:rFonts w:ascii="Calibri" w:hAnsi="Calibri" w:cs="Calibri"/>
          <w:b/>
          <w:bCs/>
          <w:sz w:val="21"/>
          <w:szCs w:val="21"/>
        </w:rPr>
        <w:t>, 2025</w:t>
      </w:r>
    </w:p>
    <w:p w14:paraId="1BF720CC" w14:textId="7ECCA32A" w:rsidR="006B6CB6" w:rsidRPr="00D15A6C" w:rsidRDefault="00D74050" w:rsidP="00D15A6C">
      <w:pPr>
        <w:spacing w:after="120" w:line="257" w:lineRule="auto"/>
        <w:rPr>
          <w:rFonts w:ascii="Calibri" w:hAnsi="Calibri" w:cs="Calibri"/>
          <w:sz w:val="21"/>
          <w:szCs w:val="21"/>
        </w:rPr>
      </w:pPr>
      <w:r w:rsidRPr="00D15A6C">
        <w:rPr>
          <w:rFonts w:ascii="Calibri" w:hAnsi="Calibri" w:cs="Calibri"/>
          <w:sz w:val="21"/>
          <w:szCs w:val="21"/>
        </w:rPr>
        <w:t xml:space="preserve">Dear </w:t>
      </w:r>
      <w:r w:rsidR="00DC64F3" w:rsidRPr="00D15A6C">
        <w:rPr>
          <w:rFonts w:ascii="Calibri" w:hAnsi="Calibri" w:cs="Calibri"/>
          <w:sz w:val="21"/>
          <w:szCs w:val="21"/>
        </w:rPr>
        <w:t>Member of the South Dakota Legislature</w:t>
      </w:r>
      <w:r w:rsidR="00D15A6C" w:rsidRPr="00D15A6C">
        <w:rPr>
          <w:rFonts w:ascii="Calibri" w:hAnsi="Calibri" w:cs="Calibri"/>
          <w:sz w:val="21"/>
          <w:szCs w:val="21"/>
        </w:rPr>
        <w:t>:</w:t>
      </w:r>
    </w:p>
    <w:p w14:paraId="72B1F2C5" w14:textId="1960351C" w:rsidR="006B6CB6" w:rsidRPr="00D15A6C" w:rsidRDefault="006B6CB6" w:rsidP="00D15A6C">
      <w:pPr>
        <w:spacing w:after="120" w:line="257" w:lineRule="auto"/>
        <w:rPr>
          <w:rFonts w:ascii="Calibri" w:hAnsi="Calibri" w:cs="Calibri"/>
          <w:sz w:val="21"/>
          <w:szCs w:val="21"/>
        </w:rPr>
      </w:pPr>
      <w:r w:rsidRPr="00D15A6C">
        <w:rPr>
          <w:rFonts w:ascii="Calibri" w:hAnsi="Calibri" w:cs="Calibri"/>
          <w:sz w:val="21"/>
          <w:szCs w:val="21"/>
        </w:rPr>
        <w:t xml:space="preserve">Consumer Action for a Strong Economy (CASE) writes today to represent the interests of millions of American consumers before your committee to express our strongest opposition to </w:t>
      </w:r>
      <w:hyperlink r:id="rId6" w:history="1">
        <w:r w:rsidRPr="00D15A6C">
          <w:rPr>
            <w:rStyle w:val="Hyperlink"/>
            <w:rFonts w:ascii="Calibri" w:hAnsi="Calibri" w:cs="Calibri"/>
            <w:sz w:val="21"/>
            <w:szCs w:val="21"/>
          </w:rPr>
          <w:t>South Dakota Senate Bill 154</w:t>
        </w:r>
      </w:hyperlink>
      <w:r w:rsidRPr="00D15A6C">
        <w:rPr>
          <w:rFonts w:ascii="Calibri" w:hAnsi="Calibri" w:cs="Calibri"/>
          <w:sz w:val="21"/>
          <w:szCs w:val="21"/>
        </w:rPr>
        <w:t>. This proposal would mandate that pharmaceutical manufacturers distribute 340B-priced medications to all contract pharmacies, expanding an already problematic program without addressing its fundamental flaws.</w:t>
      </w:r>
    </w:p>
    <w:p w14:paraId="2FBB6667" w14:textId="77777777" w:rsidR="006B6CB6" w:rsidRPr="00D15A6C" w:rsidRDefault="006B6CB6" w:rsidP="00D15A6C">
      <w:pPr>
        <w:spacing w:after="120" w:line="257" w:lineRule="auto"/>
        <w:rPr>
          <w:rFonts w:ascii="Calibri" w:hAnsi="Calibri" w:cs="Calibri"/>
          <w:sz w:val="21"/>
          <w:szCs w:val="21"/>
        </w:rPr>
      </w:pPr>
      <w:r w:rsidRPr="00D15A6C">
        <w:rPr>
          <w:rFonts w:ascii="Calibri" w:hAnsi="Calibri" w:cs="Calibri"/>
          <w:sz w:val="21"/>
          <w:szCs w:val="21"/>
        </w:rPr>
        <w:t>Originally designed to help low-income communities access affordable medications and treatments, the 340B program has been exploited by large hospitals and pharmacy benefit managers (PBMs) for profit, often at the expense of patients. </w:t>
      </w:r>
      <w:hyperlink r:id="rId7" w:tooltip="https://avalere.com/insights/pbm-mail-order-and-specialty-pharmacy-involvement-in-340b" w:history="1">
        <w:r w:rsidRPr="00D15A6C">
          <w:rPr>
            <w:rStyle w:val="Hyperlink"/>
            <w:rFonts w:ascii="Calibri" w:hAnsi="Calibri" w:cs="Calibri"/>
            <w:sz w:val="21"/>
            <w:szCs w:val="21"/>
          </w:rPr>
          <w:t>Over half</w:t>
        </w:r>
      </w:hyperlink>
      <w:r w:rsidRPr="00D15A6C">
        <w:rPr>
          <w:rFonts w:ascii="Calibri" w:hAnsi="Calibri" w:cs="Calibri"/>
          <w:sz w:val="21"/>
          <w:szCs w:val="21"/>
        </w:rPr>
        <w:t> of 340B contract pharmacies are vertically integrated with PBMs, which the FTC </w:t>
      </w:r>
      <w:hyperlink r:id="rId8" w:tooltip="https://www.ftc.gov/news-events/news/press-releases/2025/01/ftc-releases-second-interim-staff-report-prescription-drug-middlemen" w:history="1">
        <w:r w:rsidRPr="00D15A6C">
          <w:rPr>
            <w:rStyle w:val="Hyperlink"/>
            <w:rFonts w:ascii="Calibri" w:hAnsi="Calibri" w:cs="Calibri"/>
            <w:sz w:val="21"/>
            <w:szCs w:val="21"/>
          </w:rPr>
          <w:t>has reported</w:t>
        </w:r>
      </w:hyperlink>
      <w:r w:rsidRPr="00D15A6C">
        <w:rPr>
          <w:rFonts w:ascii="Calibri" w:hAnsi="Calibri" w:cs="Calibri"/>
          <w:sz w:val="21"/>
          <w:szCs w:val="21"/>
        </w:rPr>
        <w:t> manipulate drug pricing to their advantage.</w:t>
      </w:r>
    </w:p>
    <w:p w14:paraId="43545A8E" w14:textId="02F6478C" w:rsidR="006B6CB6" w:rsidRPr="00D15A6C" w:rsidRDefault="006B6CB6" w:rsidP="00D15A6C">
      <w:pPr>
        <w:spacing w:after="120" w:line="257" w:lineRule="auto"/>
        <w:rPr>
          <w:rFonts w:ascii="Calibri" w:hAnsi="Calibri" w:cs="Calibri"/>
          <w:sz w:val="21"/>
          <w:szCs w:val="21"/>
        </w:rPr>
      </w:pPr>
      <w:r w:rsidRPr="00D15A6C">
        <w:rPr>
          <w:rFonts w:ascii="Calibri" w:hAnsi="Calibri" w:cs="Calibri"/>
          <w:sz w:val="21"/>
          <w:szCs w:val="21"/>
        </w:rPr>
        <w:t>Expanding the program through SB 154 would only worsen these issues and benefit the largest pharmacy benefit managers (PBMs). Over 50 percent of 340B contract pharmacies are already associated with PBMs through vertical integration. These middlemen are notorious for manipulating drug pricing to maximize profits at consumers’ expense. Independent pharmacies, which are crucial for underserved communities, will be further squeezed out, reducing patient access to affordable care.</w:t>
      </w:r>
    </w:p>
    <w:p w14:paraId="4E0788F9" w14:textId="3B8D67F0" w:rsidR="006B6CB6" w:rsidRPr="00D15A6C" w:rsidRDefault="006B6CB6" w:rsidP="00D15A6C">
      <w:pPr>
        <w:spacing w:after="120" w:line="257" w:lineRule="auto"/>
        <w:rPr>
          <w:rFonts w:ascii="Calibri" w:hAnsi="Calibri" w:cs="Calibri"/>
          <w:sz w:val="21"/>
          <w:szCs w:val="21"/>
        </w:rPr>
      </w:pPr>
      <w:r w:rsidRPr="00D15A6C">
        <w:rPr>
          <w:rFonts w:ascii="Calibri" w:hAnsi="Calibri" w:cs="Calibri"/>
          <w:sz w:val="21"/>
          <w:szCs w:val="21"/>
        </w:rPr>
        <w:t xml:space="preserve">In South Dakota specifically, the 340B program is already costing employers and workers </w:t>
      </w:r>
      <w:hyperlink r:id="rId9" w:history="1">
        <w:r w:rsidRPr="00D15A6C">
          <w:rPr>
            <w:rStyle w:val="Hyperlink"/>
            <w:rFonts w:ascii="Calibri" w:hAnsi="Calibri" w:cs="Calibri"/>
            <w:sz w:val="21"/>
            <w:szCs w:val="21"/>
          </w:rPr>
          <w:t>$57 million annually</w:t>
        </w:r>
      </w:hyperlink>
      <w:r w:rsidRPr="00D15A6C">
        <w:rPr>
          <w:rFonts w:ascii="Calibri" w:hAnsi="Calibri" w:cs="Calibri"/>
          <w:sz w:val="21"/>
          <w:szCs w:val="21"/>
        </w:rPr>
        <w:t xml:space="preserve">, and this figure would rise to </w:t>
      </w:r>
      <w:hyperlink r:id="rId10" w:history="1">
        <w:r w:rsidRPr="00D15A6C">
          <w:rPr>
            <w:rStyle w:val="Hyperlink"/>
            <w:rFonts w:ascii="Calibri" w:hAnsi="Calibri" w:cs="Calibri"/>
            <w:sz w:val="21"/>
            <w:szCs w:val="21"/>
          </w:rPr>
          <w:t>$80 million</w:t>
        </w:r>
      </w:hyperlink>
      <w:r w:rsidRPr="00D15A6C">
        <w:rPr>
          <w:rFonts w:ascii="Calibri" w:hAnsi="Calibri" w:cs="Calibri"/>
          <w:sz w:val="21"/>
          <w:szCs w:val="21"/>
        </w:rPr>
        <w:t xml:space="preserve"> if SB 154 is enacted. </w:t>
      </w:r>
      <w:r w:rsidR="00CF5C89" w:rsidRPr="00D15A6C">
        <w:rPr>
          <w:rFonts w:ascii="Calibri" w:hAnsi="Calibri" w:cs="Calibri"/>
          <w:sz w:val="21"/>
          <w:szCs w:val="21"/>
        </w:rPr>
        <w:t xml:space="preserve">This leaves South Dakotans, particularly those covered by employer-sponsored insurance, paying more for prescription drugs due to lost rebates while PBMs and large hospital systems pocket the difference. </w:t>
      </w:r>
      <w:r w:rsidR="00DC64F3" w:rsidRPr="00D15A6C">
        <w:rPr>
          <w:rFonts w:ascii="Calibri" w:hAnsi="Calibri" w:cs="Calibri"/>
          <w:sz w:val="21"/>
          <w:szCs w:val="21"/>
        </w:rPr>
        <w:t xml:space="preserve">SB 154 would </w:t>
      </w:r>
      <w:r w:rsidR="00CF5C89" w:rsidRPr="00D15A6C">
        <w:rPr>
          <w:rFonts w:ascii="Calibri" w:hAnsi="Calibri" w:cs="Calibri"/>
          <w:sz w:val="21"/>
          <w:szCs w:val="21"/>
        </w:rPr>
        <w:t>exacerbate these issues, leading to fewer independent pharmacies, higher insurance premiums, and greater out-of-pocket costs for patients struggling with affordability.</w:t>
      </w:r>
      <w:r w:rsidR="00DC64F3" w:rsidRPr="00D15A6C">
        <w:rPr>
          <w:rFonts w:ascii="Calibri" w:hAnsi="Calibri" w:cs="Calibri"/>
          <w:sz w:val="21"/>
          <w:szCs w:val="21"/>
        </w:rPr>
        <w:t xml:space="preserve"> To ensure transparency and fully understand the financial impact of this legislation, we urge House members to attach an amendment requiring a fiscal note before advancing SB 154.</w:t>
      </w:r>
    </w:p>
    <w:p w14:paraId="1622CAF6" w14:textId="50A7F01B" w:rsidR="006B6CB6" w:rsidRPr="00D15A6C" w:rsidRDefault="006B6CB6" w:rsidP="00D15A6C">
      <w:pPr>
        <w:spacing w:after="120" w:line="257" w:lineRule="auto"/>
        <w:rPr>
          <w:rFonts w:ascii="Calibri" w:hAnsi="Calibri" w:cs="Calibri"/>
          <w:sz w:val="21"/>
          <w:szCs w:val="21"/>
        </w:rPr>
      </w:pPr>
      <w:r w:rsidRPr="00D15A6C">
        <w:rPr>
          <w:rFonts w:ascii="Calibri" w:hAnsi="Calibri" w:cs="Calibri"/>
          <w:sz w:val="21"/>
          <w:szCs w:val="21"/>
        </w:rPr>
        <w:t>Additionally, the 340B program is a federal initiative to be solely governed by federal law. States lack the authority to make changes to the program such as those being considered by SB 154. Similar legislation has faced legal challenges in other states and some courts have already found that manufacturers are not required under existing federal law to supply discounted drugs to an unlimited number of contract pharmacies. This further highlights the flaws within SB 154.</w:t>
      </w:r>
    </w:p>
    <w:p w14:paraId="4FD0FCE2" w14:textId="40F9424A" w:rsidR="006B6CB6" w:rsidRPr="00D15A6C" w:rsidRDefault="006B6CB6" w:rsidP="00D15A6C">
      <w:pPr>
        <w:spacing w:after="120" w:line="257" w:lineRule="auto"/>
        <w:rPr>
          <w:rFonts w:ascii="Calibri" w:hAnsi="Calibri" w:cs="Calibri"/>
          <w:sz w:val="21"/>
          <w:szCs w:val="21"/>
        </w:rPr>
      </w:pPr>
      <w:r w:rsidRPr="00D15A6C">
        <w:rPr>
          <w:rFonts w:ascii="Calibri" w:hAnsi="Calibri" w:cs="Calibri"/>
          <w:sz w:val="21"/>
          <w:szCs w:val="21"/>
        </w:rPr>
        <w:t>Ultimately, this legislation will expand a deeply flawed program that benefits corporate interests over patients. While well-intended in theory, this bill will allow for further fraud and abuse while enriching hospitals and PBMs at taxpayers’ expense. CASE urges the South Dakota legislature to reject SB 154 and stop the expansion of this broken system.</w:t>
      </w:r>
      <w:r w:rsidR="00DC64F3" w:rsidRPr="00D15A6C">
        <w:rPr>
          <w:rFonts w:ascii="Calibri" w:hAnsi="Calibri" w:cs="Calibri"/>
          <w:sz w:val="21"/>
          <w:szCs w:val="21"/>
        </w:rPr>
        <w:t xml:space="preserve"> At a minimum, we urge members of the House to include an amendment requiring a fiscal note before advancing SB 154 to fully assess its financial impact on patients, employers, and the healthcare system.</w:t>
      </w:r>
    </w:p>
    <w:p w14:paraId="1F8248D0" w14:textId="77777777" w:rsidR="006B6CB6" w:rsidRPr="00D15A6C" w:rsidRDefault="006B6CB6" w:rsidP="00D15A6C">
      <w:pPr>
        <w:spacing w:after="120" w:line="257" w:lineRule="auto"/>
        <w:rPr>
          <w:rFonts w:ascii="Calibri" w:hAnsi="Calibri" w:cs="Calibri"/>
          <w:sz w:val="21"/>
          <w:szCs w:val="21"/>
        </w:rPr>
      </w:pPr>
      <w:r w:rsidRPr="00D15A6C">
        <w:rPr>
          <w:rFonts w:ascii="Calibri" w:hAnsi="Calibri" w:cs="Calibri"/>
          <w:sz w:val="21"/>
          <w:szCs w:val="21"/>
        </w:rPr>
        <w:t>Sincerely,</w:t>
      </w:r>
    </w:p>
    <w:p w14:paraId="0F2DAD3B" w14:textId="77777777" w:rsidR="00D15A6C" w:rsidRDefault="006B6CB6" w:rsidP="00D15A6C">
      <w:pPr>
        <w:spacing w:after="0" w:line="257" w:lineRule="auto"/>
        <w:rPr>
          <w:rFonts w:ascii="Calibri" w:hAnsi="Calibri" w:cs="Calibri"/>
          <w:sz w:val="21"/>
          <w:szCs w:val="21"/>
        </w:rPr>
      </w:pPr>
      <w:r w:rsidRPr="00D15A6C">
        <w:rPr>
          <w:rFonts w:ascii="Calibri" w:hAnsi="Calibri" w:cs="Calibri"/>
          <w:b/>
          <w:bCs/>
          <w:sz w:val="21"/>
          <w:szCs w:val="21"/>
        </w:rPr>
        <w:t>Consumer Action for a Strong Economy (CASE)</w:t>
      </w:r>
      <w:r w:rsidRPr="00D15A6C">
        <w:rPr>
          <w:rFonts w:ascii="Calibri" w:hAnsi="Calibri" w:cs="Calibri"/>
          <w:sz w:val="21"/>
          <w:szCs w:val="21"/>
        </w:rPr>
        <w:t> </w:t>
      </w:r>
    </w:p>
    <w:p w14:paraId="24F4B4FE" w14:textId="2A4AB5D0" w:rsidR="006B6CB6" w:rsidRPr="00D15A6C" w:rsidRDefault="006B6CB6" w:rsidP="00D15A6C">
      <w:pPr>
        <w:spacing w:after="120" w:line="257" w:lineRule="auto"/>
        <w:rPr>
          <w:rFonts w:ascii="Calibri" w:hAnsi="Calibri" w:cs="Calibri"/>
          <w:sz w:val="21"/>
          <w:szCs w:val="21"/>
        </w:rPr>
      </w:pPr>
      <w:r w:rsidRPr="00D15A6C">
        <w:rPr>
          <w:rFonts w:ascii="Calibri" w:hAnsi="Calibri" w:cs="Calibri"/>
          <w:sz w:val="21"/>
          <w:szCs w:val="21"/>
        </w:rPr>
        <w:t>____________________________ </w:t>
      </w:r>
    </w:p>
    <w:p w14:paraId="5AD0347C" w14:textId="77777777" w:rsidR="006B6CB6" w:rsidRPr="00D15A6C" w:rsidRDefault="006B6CB6" w:rsidP="00D15A6C">
      <w:pPr>
        <w:spacing w:after="120" w:line="257" w:lineRule="auto"/>
        <w:rPr>
          <w:rFonts w:ascii="Calibri" w:hAnsi="Calibri" w:cs="Calibri"/>
          <w:sz w:val="21"/>
          <w:szCs w:val="21"/>
        </w:rPr>
      </w:pPr>
      <w:r w:rsidRPr="00D15A6C">
        <w:rPr>
          <w:rFonts w:ascii="Calibri" w:hAnsi="Calibri" w:cs="Calibri"/>
          <w:sz w:val="21"/>
          <w:szCs w:val="21"/>
        </w:rPr>
        <w:t>Consumer Action for a Strong Economy  </w:t>
      </w:r>
      <w:r w:rsidRPr="00D15A6C">
        <w:rPr>
          <w:rFonts w:ascii="Calibri" w:hAnsi="Calibri" w:cs="Calibri"/>
          <w:sz w:val="21"/>
          <w:szCs w:val="21"/>
        </w:rPr>
        <w:br/>
        <w:t>1800 Diagonal Road, Suite 600 </w:t>
      </w:r>
      <w:r w:rsidRPr="00D15A6C">
        <w:rPr>
          <w:rFonts w:ascii="Calibri" w:hAnsi="Calibri" w:cs="Calibri"/>
          <w:sz w:val="21"/>
          <w:szCs w:val="21"/>
        </w:rPr>
        <w:br/>
        <w:t>Alexandria, VA 22314 </w:t>
      </w:r>
    </w:p>
    <w:p w14:paraId="7C00ABA6" w14:textId="173492E1" w:rsidR="00D15A6C" w:rsidRPr="00D15A6C" w:rsidRDefault="006B6CB6">
      <w:pPr>
        <w:spacing w:after="0" w:line="257" w:lineRule="auto"/>
        <w:rPr>
          <w:rFonts w:ascii="Calibri" w:hAnsi="Calibri" w:cs="Calibri"/>
          <w:sz w:val="21"/>
          <w:szCs w:val="21"/>
        </w:rPr>
      </w:pPr>
      <w:r w:rsidRPr="00D15A6C">
        <w:rPr>
          <w:rFonts w:ascii="Calibri" w:hAnsi="Calibri" w:cs="Calibri"/>
          <w:sz w:val="21"/>
          <w:szCs w:val="21"/>
        </w:rPr>
        <w:t>@CASE_forAmerica</w:t>
      </w:r>
    </w:p>
    <w:sectPr w:rsidR="00D15A6C" w:rsidRPr="00D15A6C">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B683D" w14:textId="77777777" w:rsidR="00656637" w:rsidRDefault="00656637" w:rsidP="009B46B0">
      <w:pPr>
        <w:spacing w:after="0" w:line="240" w:lineRule="auto"/>
      </w:pPr>
      <w:r>
        <w:separator/>
      </w:r>
    </w:p>
  </w:endnote>
  <w:endnote w:type="continuationSeparator" w:id="0">
    <w:p w14:paraId="714CF7A7" w14:textId="77777777" w:rsidR="00656637" w:rsidRDefault="00656637" w:rsidP="009B4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BA715" w14:textId="77777777" w:rsidR="00656637" w:rsidRDefault="00656637" w:rsidP="009B46B0">
      <w:pPr>
        <w:spacing w:after="0" w:line="240" w:lineRule="auto"/>
      </w:pPr>
      <w:r>
        <w:separator/>
      </w:r>
    </w:p>
  </w:footnote>
  <w:footnote w:type="continuationSeparator" w:id="0">
    <w:p w14:paraId="391C542E" w14:textId="77777777" w:rsidR="00656637" w:rsidRDefault="00656637" w:rsidP="009B4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A0952" w14:textId="002C1001" w:rsidR="00D15A6C" w:rsidRDefault="00D15A6C" w:rsidP="00D15A6C">
    <w:pPr>
      <w:pStyle w:val="Header"/>
      <w:jc w:val="center"/>
    </w:pPr>
    <w:r w:rsidRPr="000D3584">
      <w:rPr>
        <w:rFonts w:ascii="Calibri" w:hAnsi="Calibri" w:cs="Calibri"/>
        <w:noProof/>
      </w:rPr>
      <w:drawing>
        <wp:inline distT="0" distB="0" distL="0" distR="0" wp14:anchorId="356EB35B" wp14:editId="72E37E5A">
          <wp:extent cx="2298700" cy="685800"/>
          <wp:effectExtent l="0" t="0" r="6350" b="0"/>
          <wp:docPr id="726266912"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blue and black logo&#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8700" cy="6858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3"/>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CB6"/>
    <w:rsid w:val="00091293"/>
    <w:rsid w:val="003A4F5D"/>
    <w:rsid w:val="0059594A"/>
    <w:rsid w:val="005B191D"/>
    <w:rsid w:val="005B4BFB"/>
    <w:rsid w:val="00656637"/>
    <w:rsid w:val="006B6CB6"/>
    <w:rsid w:val="007E4A0F"/>
    <w:rsid w:val="00886681"/>
    <w:rsid w:val="008B2638"/>
    <w:rsid w:val="009B46B0"/>
    <w:rsid w:val="00A3707B"/>
    <w:rsid w:val="00AE1C81"/>
    <w:rsid w:val="00B86C8C"/>
    <w:rsid w:val="00CB67ED"/>
    <w:rsid w:val="00CF5C89"/>
    <w:rsid w:val="00D15A6C"/>
    <w:rsid w:val="00D74050"/>
    <w:rsid w:val="00DC64F3"/>
    <w:rsid w:val="00F4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82F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CB6"/>
  </w:style>
  <w:style w:type="paragraph" w:styleId="Heading1">
    <w:name w:val="heading 1"/>
    <w:basedOn w:val="Normal"/>
    <w:next w:val="Normal"/>
    <w:link w:val="Heading1Char"/>
    <w:uiPriority w:val="9"/>
    <w:qFormat/>
    <w:rsid w:val="006B6C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6C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6C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6C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6C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6C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6C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6C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6C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C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6C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6C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6C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6C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6C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6C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6C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6CB6"/>
    <w:rPr>
      <w:rFonts w:eastAsiaTheme="majorEastAsia" w:cstheme="majorBidi"/>
      <w:color w:val="272727" w:themeColor="text1" w:themeTint="D8"/>
    </w:rPr>
  </w:style>
  <w:style w:type="paragraph" w:styleId="Title">
    <w:name w:val="Title"/>
    <w:basedOn w:val="Normal"/>
    <w:next w:val="Normal"/>
    <w:link w:val="TitleChar"/>
    <w:uiPriority w:val="10"/>
    <w:qFormat/>
    <w:rsid w:val="006B6C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C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6C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6C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6CB6"/>
    <w:pPr>
      <w:spacing w:before="160"/>
      <w:jc w:val="center"/>
    </w:pPr>
    <w:rPr>
      <w:i/>
      <w:iCs/>
      <w:color w:val="404040" w:themeColor="text1" w:themeTint="BF"/>
    </w:rPr>
  </w:style>
  <w:style w:type="character" w:customStyle="1" w:styleId="QuoteChar">
    <w:name w:val="Quote Char"/>
    <w:basedOn w:val="DefaultParagraphFont"/>
    <w:link w:val="Quote"/>
    <w:uiPriority w:val="29"/>
    <w:rsid w:val="006B6CB6"/>
    <w:rPr>
      <w:i/>
      <w:iCs/>
      <w:color w:val="404040" w:themeColor="text1" w:themeTint="BF"/>
    </w:rPr>
  </w:style>
  <w:style w:type="paragraph" w:styleId="ListParagraph">
    <w:name w:val="List Paragraph"/>
    <w:basedOn w:val="Normal"/>
    <w:uiPriority w:val="34"/>
    <w:qFormat/>
    <w:rsid w:val="006B6CB6"/>
    <w:pPr>
      <w:ind w:left="720"/>
      <w:contextualSpacing/>
    </w:pPr>
  </w:style>
  <w:style w:type="character" w:styleId="IntenseEmphasis">
    <w:name w:val="Intense Emphasis"/>
    <w:basedOn w:val="DefaultParagraphFont"/>
    <w:uiPriority w:val="21"/>
    <w:qFormat/>
    <w:rsid w:val="006B6CB6"/>
    <w:rPr>
      <w:i/>
      <w:iCs/>
      <w:color w:val="0F4761" w:themeColor="accent1" w:themeShade="BF"/>
    </w:rPr>
  </w:style>
  <w:style w:type="paragraph" w:styleId="IntenseQuote">
    <w:name w:val="Intense Quote"/>
    <w:basedOn w:val="Normal"/>
    <w:next w:val="Normal"/>
    <w:link w:val="IntenseQuoteChar"/>
    <w:uiPriority w:val="30"/>
    <w:qFormat/>
    <w:rsid w:val="006B6C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6CB6"/>
    <w:rPr>
      <w:i/>
      <w:iCs/>
      <w:color w:val="0F4761" w:themeColor="accent1" w:themeShade="BF"/>
    </w:rPr>
  </w:style>
  <w:style w:type="character" w:styleId="IntenseReference">
    <w:name w:val="Intense Reference"/>
    <w:basedOn w:val="DefaultParagraphFont"/>
    <w:uiPriority w:val="32"/>
    <w:qFormat/>
    <w:rsid w:val="006B6CB6"/>
    <w:rPr>
      <w:b/>
      <w:bCs/>
      <w:smallCaps/>
      <w:color w:val="0F4761" w:themeColor="accent1" w:themeShade="BF"/>
      <w:spacing w:val="5"/>
    </w:rPr>
  </w:style>
  <w:style w:type="character" w:styleId="Hyperlink">
    <w:name w:val="Hyperlink"/>
    <w:basedOn w:val="DefaultParagraphFont"/>
    <w:uiPriority w:val="99"/>
    <w:unhideWhenUsed/>
    <w:rsid w:val="006B6CB6"/>
    <w:rPr>
      <w:color w:val="467886" w:themeColor="hyperlink"/>
      <w:u w:val="single"/>
    </w:rPr>
  </w:style>
  <w:style w:type="character" w:styleId="UnresolvedMention">
    <w:name w:val="Unresolved Mention"/>
    <w:basedOn w:val="DefaultParagraphFont"/>
    <w:uiPriority w:val="99"/>
    <w:semiHidden/>
    <w:unhideWhenUsed/>
    <w:rsid w:val="006B6CB6"/>
    <w:rPr>
      <w:color w:val="605E5C"/>
      <w:shd w:val="clear" w:color="auto" w:fill="E1DFDD"/>
    </w:rPr>
  </w:style>
  <w:style w:type="paragraph" w:styleId="Header">
    <w:name w:val="header"/>
    <w:basedOn w:val="Normal"/>
    <w:link w:val="HeaderChar"/>
    <w:uiPriority w:val="99"/>
    <w:unhideWhenUsed/>
    <w:rsid w:val="009B46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6B0"/>
  </w:style>
  <w:style w:type="paragraph" w:styleId="Footer">
    <w:name w:val="footer"/>
    <w:basedOn w:val="Normal"/>
    <w:link w:val="FooterChar"/>
    <w:uiPriority w:val="99"/>
    <w:unhideWhenUsed/>
    <w:rsid w:val="009B4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tc.gov/news-events/news/press-releases/2025/01/ftc-releases-second-interim-staff-report-prescription-drug-middleme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valere.com/insights/pbm-mail-order-and-specialty-pharmacy-involvement-in-340b"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dlegislature.gov/Session/Bill/25981"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iqvia.com/locations/united-states/library/white-papers/the-cost-of-the-340b-program-to-states" TargetMode="External"/><Relationship Id="rId4" Type="http://schemas.openxmlformats.org/officeDocument/2006/relationships/footnotes" Target="footnotes.xml"/><Relationship Id="rId9" Type="http://schemas.openxmlformats.org/officeDocument/2006/relationships/hyperlink" Target="https://www.iqvia.com/locations/united-states/library/white-papers/the-cost-of-the-340b-program-to-states"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B7F04.BE1BA0C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631</Words>
  <Characters>3451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2025-03-05T04:04:00Z</dcterms:created>
  <dcterms:modified xsi:type="dcterms:W3CDTF">2025-03-05T04:05:00Z</dcterms:modified>
</cp:coreProperties>
</file>